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E40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聚焦超声波治疗仪</w:t>
      </w:r>
    </w:p>
    <w:p w14:paraId="61A83D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数量 1台 预算 15万元</w:t>
      </w:r>
    </w:p>
    <w:p w14:paraId="7FFF2F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申请科室 康复医学科</w:t>
      </w:r>
    </w:p>
    <w:p w14:paraId="05D083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采购需求：</w:t>
      </w:r>
    </w:p>
    <w:p w14:paraId="06A151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1：适用范围：该产品主要用于人体颈肩部、腰腹部和四肢部位慢性软组织损伤性疼痛的治疗，具有深层镇痛和促进组织修复的作用。</w:t>
      </w:r>
    </w:p>
    <w:p w14:paraId="5D3917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2：主机显示与操作：</w:t>
      </w:r>
      <w:r>
        <w:rPr>
          <w:rFonts w:hint="eastAsia" w:ascii="微软雅黑" w:hAnsi="微软雅黑" w:eastAsia="微软雅黑" w:cs="微软雅黑"/>
          <w:sz w:val="21"/>
          <w:szCs w:val="21"/>
        </w:rPr>
        <w:t>配备彩色液晶显示屏，界面清晰；系统内置各部位或常见疾病的个体化治疗处方供选择，方便快速治疗。</w:t>
      </w:r>
    </w:p>
    <w:p w14:paraId="51DD95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3：双重输出控制：支持治疗枪手柄和主机触摸屏均可控制启动/停止和治疗档位的升降，操作灵活便捷。</w:t>
      </w:r>
    </w:p>
    <w:p w14:paraId="7FBA28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4：智能参数管理：具备治疗参数个性化设置和存储功能。每个治疗部位可根据临床需要个性化设置并存储默认治疗参数（包括治疗档位、治疗时间、累积次数等），提高治疗效率。</w:t>
      </w:r>
    </w:p>
    <w:p w14:paraId="4CC083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5：多重安全保护：具备超温保护、空载保护、离线保护、掉线保护等功能，确保患者与治疗师的安全。</w:t>
      </w:r>
    </w:p>
    <w:p w14:paraId="3F30D6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6：超声波频率：频率范围包含但不限于0.3MHz～3MHz（误差范围±10%以内），以适应不同深度的治疗需求。</w:t>
      </w:r>
    </w:p>
    <w:p w14:paraId="42D8F6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7：功率参数：</w:t>
      </w:r>
    </w:p>
    <w:p w14:paraId="1C6880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输入功率：≥300VA；</w:t>
      </w:r>
    </w:p>
    <w:p w14:paraId="5C6155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输出声功率：≥8W；</w:t>
      </w:r>
    </w:p>
    <w:p w14:paraId="003FE2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治疗头输出功率调节：分档大于5个档位调节，步进精度可根据临床需求设定合理范围。</w:t>
      </w:r>
    </w:p>
    <w:p w14:paraId="24F8B3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★8：耗材与配件：如有专用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耗材或易损件</w:t>
      </w:r>
      <w:r>
        <w:rPr>
          <w:rFonts w:hint="eastAsia" w:ascii="微软雅黑" w:hAnsi="微软雅黑" w:eastAsia="微软雅黑" w:cs="微软雅黑"/>
          <w:sz w:val="21"/>
          <w:szCs w:val="21"/>
        </w:rPr>
        <w:t>，要求提供具体清单（否则视为无），耗材需支持线上采购。</w:t>
      </w:r>
    </w:p>
    <w:p w14:paraId="1D456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★9：提供相关产品彩页、设备配置清单；整机保修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1"/>
          <w:szCs w:val="21"/>
        </w:rPr>
        <w:t>年起，生产日期距离安装日期≤6个月。</w:t>
      </w:r>
    </w:p>
    <w:p w14:paraId="19B833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★10：计量校准：凡需要计量和医院需要校准的设备，必须在送货前完成首次计量检定/校准，并在交货时提供检定证书或校准证书。</w:t>
      </w:r>
    </w:p>
    <w:p w14:paraId="11471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注：★为废标项，▲为重点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项</w:t>
      </w:r>
      <w:bookmarkStart w:id="0" w:name="_GoBack"/>
      <w:bookmarkEnd w:id="0"/>
    </w:p>
    <w:sectPr>
      <w:headerReference r:id="rId5" w:type="default"/>
      <w:pgSz w:w="11906" w:h="16839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CA25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4865FC"/>
    <w:rsid w:val="11552060"/>
    <w:rsid w:val="220A614E"/>
    <w:rsid w:val="37FFAA84"/>
    <w:rsid w:val="3B040D85"/>
    <w:rsid w:val="50E716EA"/>
    <w:rsid w:val="5A676A99"/>
    <w:rsid w:val="7C5207BA"/>
    <w:rsid w:val="EDFFBA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589</Words>
  <Characters>606</Characters>
  <TotalTime>1</TotalTime>
  <ScaleCrop>false</ScaleCrop>
  <LinksUpToDate>false</LinksUpToDate>
  <CharactersWithSpaces>610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2026-04-13T23:13:00Z</dcterms:created>
  <dc:creator>PC</dc:creator>
  <cp:lastModifiedBy>庄玉铭</cp:lastModifiedBy>
  <dcterms:modified xsi:type="dcterms:W3CDTF">2026-09-11T06:13:22Z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2026-04-21T20:18:39Z</vt:filetime>
  </property>
  <property fmtid="{D5CDD505-2E9C-101B-9397-08002B2CF9AE}" pid="4" name="KSOTemplateDocerSaveRecord">
    <vt:lpwstr>eyJoZGlkIjoiM2U5ODc1YzVmZDRkNDAwNzdjNDZhNzkxNjM2NjhlZjYiLCJ1c2VySWQiOiIxNjYyNTg3MjEwIn0=</vt:lpwstr>
  </property>
  <property fmtid="{D5CDD505-2E9C-101B-9397-08002B2CF9AE}" pid="5" name="KSOProductBuildVer">
    <vt:lpwstr>2052-12.1.0.28505</vt:lpwstr>
  </property>
  <property fmtid="{D5CDD505-2E9C-101B-9397-08002B2CF9AE}" pid="6" name="ICV">
    <vt:lpwstr>7899DFC85A77431AAF94C82C5DE57E2B_12</vt:lpwstr>
  </property>
</Properties>
</file>